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A4CBCF4" w:rsidR="008E39B4" w:rsidRPr="003F28AD" w:rsidRDefault="008A6FC2" w:rsidP="005F4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F28AD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>4.1.3 Price determination in a competitive market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3836B65" w14:textId="77777777" w:rsidR="003F28AD" w:rsidRDefault="003F28AD" w:rsidP="00FE54CF">
            <w:pPr>
              <w:rPr>
                <w:rFonts w:cstheme="minorHAnsi"/>
              </w:rPr>
            </w:pPr>
          </w:p>
          <w:p w14:paraId="4C75361B" w14:textId="562729E9" w:rsidR="003F28AD" w:rsidRPr="001F7779" w:rsidRDefault="003F28AD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now need to develop their understanding of elasticities and market behaviour after building on their awareness of behavioural economics and how consumers make irrational decisions. This is essential </w:t>
            </w:r>
            <w:proofErr w:type="gramStart"/>
            <w:r>
              <w:rPr>
                <w:rFonts w:cstheme="minorHAnsi"/>
              </w:rPr>
              <w:t>In</w:t>
            </w:r>
            <w:proofErr w:type="gramEnd"/>
            <w:r>
              <w:rPr>
                <w:rFonts w:cstheme="minorHAnsi"/>
              </w:rPr>
              <w:t xml:space="preserve"> order to complete the numeric assumptions in relation to cost and revenue that the next section of syllabus.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AFFA467" w14:textId="77777777" w:rsidR="001F7779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7A3491" w14:textId="77777777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Demand </w:t>
            </w:r>
          </w:p>
          <w:p w14:paraId="17EECBF4" w14:textId="77777777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41D52B9" w14:textId="77777777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Supply</w:t>
            </w:r>
          </w:p>
          <w:p w14:paraId="2781C858" w14:textId="77777777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4222D51" w14:textId="55B086EE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Elasticity </w:t>
            </w:r>
          </w:p>
          <w:p w14:paraId="70353944" w14:textId="44E2D99E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C35C3D" w14:textId="6BB9325E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Inelastic </w:t>
            </w:r>
          </w:p>
          <w:p w14:paraId="3ACE3483" w14:textId="13C162E1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CFB0AAE" w14:textId="262843E7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Elastic </w:t>
            </w:r>
          </w:p>
          <w:p w14:paraId="71C1BE6B" w14:textId="30B31658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16CF107" w14:textId="73D5C28D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Perfectly inelastic </w:t>
            </w:r>
          </w:p>
          <w:p w14:paraId="6A958BEA" w14:textId="64EBEFE9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Perfectly Elastic </w:t>
            </w:r>
          </w:p>
          <w:p w14:paraId="4A5FA711" w14:textId="1902DEC7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Equilibrium</w:t>
            </w:r>
          </w:p>
          <w:p w14:paraId="1E294433" w14:textId="77777777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5B6DE02" w14:textId="4EA734AE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Shortage</w:t>
            </w:r>
          </w:p>
          <w:p w14:paraId="7F9CD28C" w14:textId="020871D0" w:rsidR="003F28AD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Surplus</w:t>
            </w:r>
          </w:p>
          <w:p w14:paraId="49147324" w14:textId="1DC11A7F" w:rsidR="003F28AD" w:rsidRPr="00811F13" w:rsidRDefault="003F28AD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A068483" w14:textId="77777777" w:rsidR="00631D5E" w:rsidRPr="003F28AD" w:rsidRDefault="008A6FC2" w:rsidP="0070384C">
            <w:pPr>
              <w:pStyle w:val="ListParagraph"/>
              <w:ind w:left="1214"/>
              <w:rPr>
                <w:rFonts w:ascii="QglydyArialMT" w:hAnsi="QglydyArialMT" w:cs="QglydyArialMT"/>
                <w:color w:val="000000" w:themeColor="text1"/>
                <w:sz w:val="26"/>
                <w:szCs w:val="26"/>
              </w:rPr>
            </w:pPr>
            <w:r w:rsidRPr="003F28AD">
              <w:rPr>
                <w:rFonts w:ascii="QglydyArialMT" w:hAnsi="QglydyArialMT" w:cs="QglydyArialMT"/>
                <w:color w:val="000000" w:themeColor="text1"/>
                <w:sz w:val="26"/>
                <w:szCs w:val="26"/>
              </w:rPr>
              <w:t>4.1.3.1 The determinants of the demand for goods and services</w:t>
            </w:r>
          </w:p>
          <w:p w14:paraId="2740EB4E" w14:textId="77777777" w:rsidR="008A6FC2" w:rsidRPr="003F28AD" w:rsidRDefault="008A6FC2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6"/>
                <w:szCs w:val="26"/>
              </w:rPr>
            </w:pPr>
            <w:r w:rsidRPr="003F28AD">
              <w:rPr>
                <w:rFonts w:ascii="QglydyArialMT" w:hAnsi="QglydyArialMT" w:cs="QglydyArialMT"/>
                <w:color w:val="000000" w:themeColor="text1"/>
                <w:sz w:val="26"/>
                <w:szCs w:val="26"/>
              </w:rPr>
              <w:t xml:space="preserve">4.1.3.2 </w:t>
            </w:r>
            <w:r w:rsidRPr="003F28AD">
              <w:rPr>
                <w:rFonts w:ascii="TspgfgAQAChevinPro-Medium" w:hAnsi="TspgfgAQAChevinPro-Medium" w:cs="TspgfgAQAChevinPro-Medium"/>
                <w:color w:val="000000" w:themeColor="text1"/>
                <w:sz w:val="26"/>
                <w:szCs w:val="26"/>
              </w:rPr>
              <w:t>Price, income and cross elasticities of demand</w:t>
            </w:r>
          </w:p>
          <w:p w14:paraId="02B5C705" w14:textId="77777777" w:rsidR="008A6FC2" w:rsidRPr="003F28AD" w:rsidRDefault="008A6FC2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6"/>
                <w:szCs w:val="26"/>
              </w:rPr>
            </w:pPr>
            <w:r w:rsidRPr="003F28AD">
              <w:rPr>
                <w:rFonts w:ascii="QglydyArialMT" w:hAnsi="QglydyArialMT" w:cs="QglydyArialMT"/>
                <w:color w:val="000000" w:themeColor="text1"/>
                <w:sz w:val="26"/>
                <w:szCs w:val="26"/>
              </w:rPr>
              <w:t xml:space="preserve">4.1.3.3 </w:t>
            </w:r>
            <w:r w:rsidRPr="003F28AD">
              <w:rPr>
                <w:rFonts w:ascii="TspgfgAQAChevinPro-Medium" w:hAnsi="TspgfgAQAChevinPro-Medium" w:cs="TspgfgAQAChevinPro-Medium"/>
                <w:color w:val="000000" w:themeColor="text1"/>
                <w:sz w:val="26"/>
                <w:szCs w:val="26"/>
              </w:rPr>
              <w:t>The determinants of the supply of goods and services</w:t>
            </w:r>
          </w:p>
          <w:p w14:paraId="57E3EDBB" w14:textId="77777777" w:rsidR="008A6FC2" w:rsidRPr="003F28AD" w:rsidRDefault="008A6FC2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6"/>
                <w:szCs w:val="26"/>
              </w:rPr>
            </w:pPr>
            <w:r w:rsidRPr="003F28AD">
              <w:rPr>
                <w:rFonts w:ascii="QglydyArialMT" w:hAnsi="QglydyArialMT" w:cs="QglydyArialMT"/>
                <w:color w:val="000000" w:themeColor="text1"/>
                <w:sz w:val="26"/>
                <w:szCs w:val="26"/>
              </w:rPr>
              <w:t xml:space="preserve">4.1.3.4 </w:t>
            </w:r>
            <w:r w:rsidRPr="003F28AD">
              <w:rPr>
                <w:rFonts w:ascii="TspgfgAQAChevinPro-Medium" w:hAnsi="TspgfgAQAChevinPro-Medium" w:cs="TspgfgAQAChevinPro-Medium"/>
                <w:color w:val="000000" w:themeColor="text1"/>
                <w:sz w:val="26"/>
                <w:szCs w:val="26"/>
              </w:rPr>
              <w:t>Price elasticity of supply</w:t>
            </w:r>
          </w:p>
          <w:p w14:paraId="078F7216" w14:textId="77777777" w:rsidR="008A6FC2" w:rsidRPr="003F28AD" w:rsidRDefault="008A6FC2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6"/>
                <w:szCs w:val="26"/>
              </w:rPr>
            </w:pPr>
            <w:r w:rsidRPr="003F28AD">
              <w:rPr>
                <w:rFonts w:ascii="QglydyArialMT" w:hAnsi="QglydyArialMT" w:cs="QglydyArialMT"/>
                <w:color w:val="000000" w:themeColor="text1"/>
                <w:sz w:val="26"/>
                <w:szCs w:val="26"/>
              </w:rPr>
              <w:t xml:space="preserve">4.1.3.5 </w:t>
            </w:r>
            <w:r w:rsidRPr="003F28AD">
              <w:rPr>
                <w:rFonts w:ascii="TspgfgAQAChevinPro-Medium" w:hAnsi="TspgfgAQAChevinPro-Medium" w:cs="TspgfgAQAChevinPro-Medium"/>
                <w:color w:val="000000" w:themeColor="text1"/>
                <w:sz w:val="26"/>
                <w:szCs w:val="26"/>
              </w:rPr>
              <w:t>The determination of equilibrium market prices</w:t>
            </w:r>
          </w:p>
          <w:p w14:paraId="704CD9BE" w14:textId="320F0F3C" w:rsidR="008A6FC2" w:rsidRPr="005D49C7" w:rsidRDefault="008A6FC2" w:rsidP="0070384C">
            <w:pPr>
              <w:pStyle w:val="ListParagraph"/>
              <w:ind w:left="1214"/>
              <w:rPr>
                <w:rFonts w:cstheme="minorHAnsi"/>
                <w:color w:val="000000" w:themeColor="text1"/>
              </w:rPr>
            </w:pPr>
            <w:r w:rsidRPr="003F28AD">
              <w:rPr>
                <w:rFonts w:ascii="QglydyArialMT" w:hAnsi="QglydyArialMT" w:cs="QglydyArialMT"/>
                <w:color w:val="000000" w:themeColor="text1"/>
                <w:sz w:val="26"/>
                <w:szCs w:val="26"/>
              </w:rPr>
              <w:t xml:space="preserve">4.1.3.6 </w:t>
            </w:r>
            <w:r w:rsidRPr="003F28AD">
              <w:rPr>
                <w:rFonts w:ascii="TspgfgAQAChevinPro-Medium" w:hAnsi="TspgfgAQAChevinPro-Medium" w:cs="TspgfgAQAChevinPro-Medium"/>
                <w:color w:val="000000" w:themeColor="text1"/>
                <w:sz w:val="26"/>
                <w:szCs w:val="26"/>
              </w:rPr>
              <w:t>The interrelationship between markets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105A4EA" w14:textId="77777777" w:rsidR="003F28AD" w:rsidRDefault="003F28AD" w:rsidP="003F28A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Econ plus dal: </w:t>
            </w:r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EconplusDal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00949E79" w14:textId="77777777" w:rsidR="003F28AD" w:rsidRDefault="003F28AD" w:rsidP="003F28A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Bloomberg: 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Bloomberg.com</w:t>
              </w:r>
            </w:hyperlink>
          </w:p>
          <w:p w14:paraId="60902600" w14:textId="77777777" w:rsidR="003F28AD" w:rsidRDefault="003F28AD" w:rsidP="003F28A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BBC news: 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Business - BBC News</w:t>
              </w:r>
            </w:hyperlink>
          </w:p>
          <w:p w14:paraId="150EC7FD" w14:textId="77777777" w:rsidR="003F28AD" w:rsidRPr="00F9765D" w:rsidRDefault="003F28AD" w:rsidP="003F28A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Tutor 2u: </w:t>
            </w:r>
            <w:r>
              <w:t xml:space="preserve"> </w:t>
            </w:r>
            <w:hyperlink r:id="rId14" w:anchor="e" w:history="1">
              <w:r>
                <w:rPr>
                  <w:rStyle w:val="Hyperlink"/>
                </w:rPr>
                <w:t>tutor2u | A-Level, GCSE &amp; vocational qualification support resources</w:t>
              </w:r>
            </w:hyperlink>
          </w:p>
          <w:p w14:paraId="001E2D6F" w14:textId="7732647E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3F28AD" w:rsidP="008E39B4"/>
    <w:sectPr w:rsidR="0053445E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glydy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spgfg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F7779"/>
    <w:rsid w:val="002B0167"/>
    <w:rsid w:val="003455DA"/>
    <w:rsid w:val="003E6B6F"/>
    <w:rsid w:val="003F28AD"/>
    <w:rsid w:val="00440E6C"/>
    <w:rsid w:val="00487E07"/>
    <w:rsid w:val="004B17FA"/>
    <w:rsid w:val="005D49C7"/>
    <w:rsid w:val="005F4E99"/>
    <w:rsid w:val="00631D5E"/>
    <w:rsid w:val="0070384C"/>
    <w:rsid w:val="007146EF"/>
    <w:rsid w:val="00804340"/>
    <w:rsid w:val="00811F13"/>
    <w:rsid w:val="0083335D"/>
    <w:rsid w:val="00847F4E"/>
    <w:rsid w:val="00867D25"/>
    <w:rsid w:val="008A6FC2"/>
    <w:rsid w:val="008B1952"/>
    <w:rsid w:val="008E39B4"/>
    <w:rsid w:val="00A23F48"/>
    <w:rsid w:val="00A314F1"/>
    <w:rsid w:val="00B47DF2"/>
    <w:rsid w:val="00BA646E"/>
    <w:rsid w:val="00C1340F"/>
    <w:rsid w:val="00C67435"/>
    <w:rsid w:val="00CA59AB"/>
    <w:rsid w:val="00DB0006"/>
    <w:rsid w:val="00DC23A5"/>
    <w:rsid w:val="00E5371A"/>
    <w:rsid w:val="00E64F4C"/>
    <w:rsid w:val="00F43D58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news/busin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Econplu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tor2u.net/economics/top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4719C-3581-460D-BBD8-4FD0DCDD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3</cp:revision>
  <dcterms:created xsi:type="dcterms:W3CDTF">2022-06-21T12:13:00Z</dcterms:created>
  <dcterms:modified xsi:type="dcterms:W3CDTF">2022-07-01T11:47:00Z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